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7A" w:rsidRDefault="006B527A" w:rsidP="005D4FBB">
      <w:pPr>
        <w:rPr>
          <w:rFonts w:asciiTheme="minorHAnsi" w:hAnsiTheme="minorHAnsi" w:cstheme="minorHAnsi"/>
          <w:sz w:val="22"/>
          <w:szCs w:val="22"/>
        </w:rPr>
      </w:pPr>
    </w:p>
    <w:p w:rsidR="006B527A" w:rsidRPr="006B527A" w:rsidRDefault="006B527A" w:rsidP="006B527A">
      <w:pPr>
        <w:pStyle w:val="Odrkybod"/>
        <w:numPr>
          <w:ilvl w:val="0"/>
          <w:numId w:val="0"/>
        </w:numPr>
        <w:spacing w:line="240" w:lineRule="auto"/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6B527A">
        <w:rPr>
          <w:rFonts w:asciiTheme="minorHAnsi" w:hAnsiTheme="minorHAnsi" w:cstheme="minorHAnsi"/>
          <w:b/>
          <w:sz w:val="32"/>
          <w:szCs w:val="32"/>
          <w:u w:val="single"/>
        </w:rPr>
        <w:t>Standard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y</w:t>
      </w:r>
      <w:r w:rsidRPr="006B527A">
        <w:rPr>
          <w:rFonts w:asciiTheme="minorHAnsi" w:hAnsiTheme="minorHAnsi" w:cstheme="minorHAnsi"/>
          <w:b/>
          <w:sz w:val="32"/>
          <w:szCs w:val="32"/>
          <w:u w:val="single"/>
        </w:rPr>
        <w:t xml:space="preserve"> a požadavky na dodávku fotovoltaického systému pro objekt domova pro seniory v Jakartovicích</w:t>
      </w:r>
    </w:p>
    <w:p w:rsidR="005D4FBB" w:rsidRPr="006B527A" w:rsidRDefault="005D4FBB" w:rsidP="005D4FBB">
      <w:pPr>
        <w:pStyle w:val="Odrkybod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6B527A">
        <w:rPr>
          <w:rFonts w:asciiTheme="minorHAnsi" w:hAnsiTheme="minorHAnsi" w:cstheme="minorHAnsi"/>
          <w:sz w:val="22"/>
          <w:szCs w:val="22"/>
        </w:rPr>
        <w:t>budou instalovány výhradně fotovoltaické moduly, měniče a akumulátory s nezávisle ověřenými parametry prokázanými certifikáty vydanými akreditovanými certifikačními orgány</w:t>
      </w:r>
      <w:r w:rsidRPr="006B527A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6B527A">
        <w:rPr>
          <w:rFonts w:asciiTheme="minorHAnsi" w:hAnsiTheme="minorHAnsi" w:cstheme="minorHAnsi"/>
          <w:sz w:val="22"/>
          <w:szCs w:val="22"/>
        </w:rPr>
        <w:t xml:space="preserve"> na základě níže uvedených souborů norem: </w:t>
      </w:r>
    </w:p>
    <w:tbl>
      <w:tblPr>
        <w:tblStyle w:val="ListTable3Accent1"/>
        <w:tblW w:w="4925" w:type="pct"/>
        <w:jc w:val="center"/>
        <w:tblLook w:val="00A0"/>
      </w:tblPr>
      <w:tblGrid>
        <w:gridCol w:w="3059"/>
        <w:gridCol w:w="6090"/>
      </w:tblGrid>
      <w:tr w:rsidR="005D4FBB" w:rsidRPr="006B527A" w:rsidTr="00C91FD0">
        <w:trPr>
          <w:cnfStyle w:val="100000000000"/>
          <w:trHeight w:val="359"/>
          <w:jc w:val="center"/>
        </w:trPr>
        <w:tc>
          <w:tcPr>
            <w:cnfStyle w:val="001000000100"/>
            <w:tcW w:w="1672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B527A">
              <w:rPr>
                <w:rFonts w:asciiTheme="minorHAnsi" w:hAnsiTheme="minorHAnsi" w:cstheme="minorHAnsi"/>
              </w:rPr>
              <w:t>Technologie</w:t>
            </w:r>
          </w:p>
        </w:tc>
        <w:tc>
          <w:tcPr>
            <w:cnfStyle w:val="000010000000"/>
            <w:tcW w:w="3328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B527A">
              <w:rPr>
                <w:rFonts w:asciiTheme="minorHAnsi" w:hAnsiTheme="minorHAnsi" w:cstheme="minorHAnsi"/>
              </w:rPr>
              <w:t>Soubory norem (je-li relevantní)</w:t>
            </w:r>
          </w:p>
        </w:tc>
      </w:tr>
      <w:tr w:rsidR="005D4FBB" w:rsidRPr="006B527A" w:rsidTr="00C91FD0">
        <w:trPr>
          <w:cnfStyle w:val="000000100000"/>
          <w:trHeight w:val="376"/>
          <w:jc w:val="center"/>
        </w:trPr>
        <w:tc>
          <w:tcPr>
            <w:cnfStyle w:val="001000000000"/>
            <w:tcW w:w="1672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Fotovoltaické moduly</w:t>
            </w:r>
          </w:p>
        </w:tc>
        <w:tc>
          <w:tcPr>
            <w:cnfStyle w:val="000010000000"/>
            <w:tcW w:w="3328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IEC 61215, IEC 61730</w:t>
            </w:r>
          </w:p>
        </w:tc>
      </w:tr>
      <w:tr w:rsidR="005D4FBB" w:rsidRPr="006B527A" w:rsidTr="00C91FD0">
        <w:trPr>
          <w:trHeight w:val="376"/>
          <w:jc w:val="center"/>
        </w:trPr>
        <w:tc>
          <w:tcPr>
            <w:cnfStyle w:val="001000000000"/>
            <w:tcW w:w="1672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Měniče</w:t>
            </w:r>
          </w:p>
        </w:tc>
        <w:tc>
          <w:tcPr>
            <w:cnfStyle w:val="000010000000"/>
            <w:tcW w:w="3328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IEC 61727, IEC 62116, normy řady IEC 61000 dle typu</w:t>
            </w:r>
          </w:p>
        </w:tc>
      </w:tr>
      <w:tr w:rsidR="005D4FBB" w:rsidRPr="006B527A" w:rsidTr="00C91FD0">
        <w:trPr>
          <w:cnfStyle w:val="000000100000"/>
          <w:trHeight w:val="376"/>
          <w:jc w:val="center"/>
        </w:trPr>
        <w:tc>
          <w:tcPr>
            <w:cnfStyle w:val="001000000000"/>
            <w:tcW w:w="1672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Elektrické akumulátory</w:t>
            </w:r>
          </w:p>
        </w:tc>
        <w:tc>
          <w:tcPr>
            <w:cnfStyle w:val="000010000000"/>
            <w:tcW w:w="3328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dle typu akumulátoru (</w:t>
            </w:r>
            <w:r w:rsidRPr="006B527A">
              <w:rPr>
                <w:rFonts w:asciiTheme="minorHAnsi" w:hAnsiTheme="minorHAnsi" w:cstheme="minorHAnsi"/>
                <w:iCs/>
              </w:rPr>
              <w:t>pro nejčastější lithiové akumulátory IEC 63056:2020 nebo IEC 62619:2017 nebo IEC 62620:2014</w:t>
            </w:r>
            <w:r w:rsidRPr="006B527A">
              <w:rPr>
                <w:rFonts w:asciiTheme="minorHAnsi" w:hAnsiTheme="minorHAnsi" w:cstheme="minorHAnsi"/>
              </w:rPr>
              <w:t>)</w:t>
            </w:r>
          </w:p>
        </w:tc>
      </w:tr>
    </w:tbl>
    <w:p w:rsidR="005D4FBB" w:rsidRPr="006B527A" w:rsidRDefault="005D4FBB" w:rsidP="005D4FBB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D4FBB" w:rsidRPr="006B527A" w:rsidRDefault="005D4FBB" w:rsidP="005D4FBB">
      <w:pPr>
        <w:pStyle w:val="Odstavecseseznamem"/>
        <w:numPr>
          <w:ilvl w:val="0"/>
          <w:numId w:val="3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B527A">
        <w:rPr>
          <w:rFonts w:asciiTheme="minorHAnsi" w:hAnsiTheme="minorHAnsi" w:cstheme="minorHAnsi"/>
          <w:sz w:val="22"/>
          <w:szCs w:val="22"/>
        </w:rPr>
        <w:t>Použité fotovoltaické moduly a měniče musí dosahovat minimálně níže uvedených účinností:</w:t>
      </w:r>
    </w:p>
    <w:tbl>
      <w:tblPr>
        <w:tblStyle w:val="ListTable3Accent1"/>
        <w:tblW w:w="4849" w:type="pct"/>
        <w:jc w:val="center"/>
        <w:tblLook w:val="00A0"/>
      </w:tblPr>
      <w:tblGrid>
        <w:gridCol w:w="2764"/>
        <w:gridCol w:w="6244"/>
      </w:tblGrid>
      <w:tr w:rsidR="005D4FBB" w:rsidRPr="006B527A" w:rsidTr="00C91FD0">
        <w:trPr>
          <w:cnfStyle w:val="100000000000"/>
          <w:trHeight w:val="376"/>
          <w:jc w:val="center"/>
        </w:trPr>
        <w:tc>
          <w:tcPr>
            <w:cnfStyle w:val="001000000100"/>
            <w:tcW w:w="1534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B527A">
              <w:rPr>
                <w:rFonts w:asciiTheme="minorHAnsi" w:hAnsiTheme="minorHAnsi" w:cstheme="minorHAnsi"/>
              </w:rPr>
              <w:t>Technologie</w:t>
            </w:r>
          </w:p>
        </w:tc>
        <w:tc>
          <w:tcPr>
            <w:cnfStyle w:val="000010000000"/>
            <w:tcW w:w="3466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B527A">
              <w:rPr>
                <w:rFonts w:asciiTheme="minorHAnsi" w:hAnsiTheme="minorHAnsi" w:cstheme="minorHAnsi"/>
              </w:rPr>
              <w:t>Minimální účinnost</w:t>
            </w:r>
          </w:p>
        </w:tc>
      </w:tr>
      <w:tr w:rsidR="005D4FBB" w:rsidRPr="006B527A" w:rsidTr="00C91FD0">
        <w:trPr>
          <w:cnfStyle w:val="000000100000"/>
          <w:trHeight w:val="376"/>
          <w:jc w:val="center"/>
        </w:trPr>
        <w:tc>
          <w:tcPr>
            <w:cnfStyle w:val="001000000000"/>
            <w:tcW w:w="1534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Fotovoltaické moduly při standardních testovacích podmínkách</w:t>
            </w:r>
            <w:r w:rsidRPr="006B527A">
              <w:rPr>
                <w:rStyle w:val="Znakapoznpodarou"/>
                <w:rFonts w:asciiTheme="minorHAnsi" w:hAnsiTheme="minorHAnsi" w:cstheme="minorHAnsi"/>
              </w:rPr>
              <w:footnoteReference w:id="3"/>
            </w:r>
            <w:r w:rsidRPr="006B527A">
              <w:rPr>
                <w:rFonts w:asciiTheme="minorHAnsi" w:hAnsiTheme="minorHAnsi" w:cstheme="minorHAnsi"/>
              </w:rPr>
              <w:t>(STC)</w:t>
            </w:r>
          </w:p>
        </w:tc>
        <w:tc>
          <w:tcPr>
            <w:cnfStyle w:val="000010000000"/>
            <w:tcW w:w="3466" w:type="pct"/>
          </w:tcPr>
          <w:p w:rsidR="005D4FBB" w:rsidRPr="006B527A" w:rsidRDefault="005D4FBB" w:rsidP="00C91F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19,0 % pro monofaciální moduly z monokrystalického křemíku,</w:t>
            </w:r>
          </w:p>
          <w:p w:rsidR="005D4FBB" w:rsidRPr="006B527A" w:rsidRDefault="005D4FBB" w:rsidP="00C91F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18,0 % pro monofaciální moduly z multikrystalického křemíku,</w:t>
            </w:r>
          </w:p>
          <w:p w:rsidR="005D4FBB" w:rsidRPr="006B527A" w:rsidRDefault="005D4FBB" w:rsidP="00C91F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19,0 % pro bifaciální moduly při 0 % bifaciálním zisku,</w:t>
            </w:r>
          </w:p>
          <w:p w:rsidR="005D4FBB" w:rsidRPr="006B527A" w:rsidRDefault="005D4FBB" w:rsidP="00C91F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12,0 % pro tenkovrstvé moduly,</w:t>
            </w:r>
          </w:p>
          <w:p w:rsidR="005D4FBB" w:rsidRPr="006B527A" w:rsidRDefault="005D4FBB" w:rsidP="00C91FD0">
            <w:pPr>
              <w:pStyle w:val="Odstavecseseznamem"/>
              <w:spacing w:after="120"/>
              <w:ind w:left="318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nestanoveno pro speciální výrobky a použití</w:t>
            </w:r>
            <w:r w:rsidRPr="006B527A">
              <w:rPr>
                <w:rStyle w:val="Znakapoznpodarou"/>
                <w:rFonts w:asciiTheme="minorHAnsi" w:hAnsiTheme="minorHAnsi" w:cstheme="minorHAnsi"/>
              </w:rPr>
              <w:footnoteReference w:id="4"/>
            </w:r>
            <w:r w:rsidRPr="006B527A">
              <w:rPr>
                <w:rFonts w:asciiTheme="minorHAnsi" w:hAnsiTheme="minorHAnsi" w:cstheme="minorHAnsi"/>
              </w:rPr>
              <w:t>.</w:t>
            </w:r>
          </w:p>
        </w:tc>
      </w:tr>
      <w:tr w:rsidR="005D4FBB" w:rsidRPr="006B527A" w:rsidTr="00C91FD0">
        <w:trPr>
          <w:trHeight w:val="376"/>
          <w:jc w:val="center"/>
        </w:trPr>
        <w:tc>
          <w:tcPr>
            <w:cnfStyle w:val="001000000000"/>
            <w:tcW w:w="1534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Měniče</w:t>
            </w:r>
          </w:p>
        </w:tc>
        <w:tc>
          <w:tcPr>
            <w:cnfStyle w:val="000010000000"/>
            <w:tcW w:w="3466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97,0 % (Euro účinnost)</w:t>
            </w:r>
          </w:p>
        </w:tc>
      </w:tr>
    </w:tbl>
    <w:p w:rsidR="005D4FBB" w:rsidRPr="006B527A" w:rsidRDefault="005D4FBB" w:rsidP="005D4FBB">
      <w:pPr>
        <w:pStyle w:val="Odstavecseseznamem"/>
        <w:spacing w:after="120" w:line="264" w:lineRule="auto"/>
        <w:ind w:left="142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5D4FBB" w:rsidRPr="006B527A" w:rsidRDefault="005D4FBB" w:rsidP="005D4FBB">
      <w:pPr>
        <w:pStyle w:val="Odstavecseseznamem"/>
        <w:numPr>
          <w:ilvl w:val="0"/>
          <w:numId w:val="3"/>
        </w:numPr>
        <w:spacing w:after="10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6B527A">
        <w:rPr>
          <w:rFonts w:asciiTheme="minorHAnsi" w:hAnsiTheme="minorHAnsi" w:cstheme="minorHAnsi"/>
          <w:sz w:val="22"/>
          <w:szCs w:val="22"/>
        </w:rPr>
        <w:t xml:space="preserve">Při realizaci </w:t>
      </w:r>
      <w:r w:rsidR="00FB7E7C">
        <w:rPr>
          <w:rFonts w:asciiTheme="minorHAnsi" w:hAnsiTheme="minorHAnsi" w:cstheme="minorHAnsi"/>
          <w:sz w:val="22"/>
          <w:szCs w:val="22"/>
        </w:rPr>
        <w:t>budou</w:t>
      </w:r>
      <w:r w:rsidRPr="006B527A">
        <w:rPr>
          <w:rFonts w:asciiTheme="minorHAnsi" w:hAnsiTheme="minorHAnsi" w:cstheme="minorHAnsi"/>
          <w:sz w:val="22"/>
          <w:szCs w:val="22"/>
        </w:rPr>
        <w:t xml:space="preserve"> použity výhradně komponenty s garantovanou životností:</w:t>
      </w:r>
    </w:p>
    <w:tbl>
      <w:tblPr>
        <w:tblStyle w:val="ListTable3Accent1"/>
        <w:tblW w:w="4847" w:type="pct"/>
        <w:jc w:val="center"/>
        <w:tblLook w:val="00A0"/>
      </w:tblPr>
      <w:tblGrid>
        <w:gridCol w:w="3196"/>
        <w:gridCol w:w="5808"/>
      </w:tblGrid>
      <w:tr w:rsidR="005D4FBB" w:rsidRPr="006B527A" w:rsidTr="00C91FD0">
        <w:trPr>
          <w:cnfStyle w:val="100000000000"/>
          <w:trHeight w:val="376"/>
          <w:jc w:val="center"/>
        </w:trPr>
        <w:tc>
          <w:tcPr>
            <w:cnfStyle w:val="001000000100"/>
            <w:tcW w:w="1775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B527A">
              <w:rPr>
                <w:rFonts w:asciiTheme="minorHAnsi" w:hAnsiTheme="minorHAnsi" w:cstheme="minorHAnsi"/>
              </w:rPr>
              <w:t>Technologie</w:t>
            </w:r>
          </w:p>
        </w:tc>
        <w:tc>
          <w:tcPr>
            <w:cnfStyle w:val="000010000000"/>
            <w:tcW w:w="3225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6B527A">
              <w:rPr>
                <w:rFonts w:asciiTheme="minorHAnsi" w:hAnsiTheme="minorHAnsi" w:cstheme="minorHAnsi"/>
              </w:rPr>
              <w:t>Požadované zajištění životnosti</w:t>
            </w:r>
          </w:p>
        </w:tc>
      </w:tr>
      <w:tr w:rsidR="005D4FBB" w:rsidRPr="006B527A" w:rsidTr="00C91FD0">
        <w:trPr>
          <w:cnfStyle w:val="000000100000"/>
          <w:trHeight w:val="376"/>
          <w:jc w:val="center"/>
        </w:trPr>
        <w:tc>
          <w:tcPr>
            <w:cnfStyle w:val="001000000000"/>
            <w:tcW w:w="1775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Fotovoltaické moduly</w:t>
            </w:r>
          </w:p>
        </w:tc>
        <w:tc>
          <w:tcPr>
            <w:cnfStyle w:val="000010000000"/>
            <w:tcW w:w="3225" w:type="pct"/>
          </w:tcPr>
          <w:p w:rsidR="005D4FBB" w:rsidRPr="006B527A" w:rsidRDefault="005D4FBB" w:rsidP="005D4FBB">
            <w:pPr>
              <w:pStyle w:val="Odstavecseseznamem"/>
              <w:numPr>
                <w:ilvl w:val="0"/>
                <w:numId w:val="4"/>
              </w:numPr>
              <w:spacing w:after="120"/>
              <w:ind w:left="318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min. 20letá lineární záruka na výkon s max. poklesem na 80 % původního výkonu garantovanou výrobcem</w:t>
            </w:r>
          </w:p>
          <w:p w:rsidR="005D4FBB" w:rsidRPr="006B527A" w:rsidRDefault="005D4FBB" w:rsidP="005D4FBB">
            <w:pPr>
              <w:pStyle w:val="Odstavecseseznamem"/>
              <w:numPr>
                <w:ilvl w:val="0"/>
                <w:numId w:val="4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min. 10letá produktová záruka garantovaná výrobcem</w:t>
            </w:r>
          </w:p>
        </w:tc>
      </w:tr>
      <w:tr w:rsidR="005D4FBB" w:rsidRPr="006B527A" w:rsidTr="00C91FD0">
        <w:trPr>
          <w:trHeight w:val="376"/>
          <w:jc w:val="center"/>
        </w:trPr>
        <w:tc>
          <w:tcPr>
            <w:cnfStyle w:val="001000000000"/>
            <w:tcW w:w="1775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Měniče</w:t>
            </w:r>
          </w:p>
        </w:tc>
        <w:tc>
          <w:tcPr>
            <w:cnfStyle w:val="000010000000"/>
            <w:tcW w:w="3225" w:type="pct"/>
          </w:tcPr>
          <w:p w:rsidR="005D4FBB" w:rsidRPr="006B527A" w:rsidRDefault="005D4FBB" w:rsidP="005D4FBB">
            <w:pPr>
              <w:pStyle w:val="Odstavecseseznamem"/>
              <w:numPr>
                <w:ilvl w:val="0"/>
                <w:numId w:val="4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záruka výrobce či dodavatele trvající min. 10 let na jeho bezodkladnou výměnu či adekvátní náhradu v případě poruchy či poškození</w:t>
            </w:r>
          </w:p>
        </w:tc>
      </w:tr>
      <w:tr w:rsidR="005D4FBB" w:rsidRPr="006B527A" w:rsidTr="00C91FD0">
        <w:trPr>
          <w:cnfStyle w:val="000000100000"/>
          <w:trHeight w:val="878"/>
          <w:jc w:val="center"/>
        </w:trPr>
        <w:tc>
          <w:tcPr>
            <w:cnfStyle w:val="001000000000"/>
            <w:tcW w:w="1775" w:type="pct"/>
          </w:tcPr>
          <w:p w:rsidR="005D4FBB" w:rsidRPr="006B527A" w:rsidRDefault="005D4FBB" w:rsidP="00C91FD0">
            <w:pPr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Elektrické akumulátory</w:t>
            </w:r>
          </w:p>
        </w:tc>
        <w:tc>
          <w:tcPr>
            <w:cnfStyle w:val="000010000000"/>
            <w:tcW w:w="3225" w:type="pct"/>
          </w:tcPr>
          <w:p w:rsidR="005D4FBB" w:rsidRPr="006B527A" w:rsidRDefault="005D4FBB" w:rsidP="005D4FBB">
            <w:pPr>
              <w:pStyle w:val="Odstavecseseznamem"/>
              <w:numPr>
                <w:ilvl w:val="0"/>
                <w:numId w:val="4"/>
              </w:numPr>
              <w:spacing w:after="0"/>
              <w:ind w:left="319" w:hanging="284"/>
              <w:contextualSpacing w:val="0"/>
              <w:jc w:val="both"/>
              <w:rPr>
                <w:rFonts w:asciiTheme="minorHAnsi" w:hAnsiTheme="minorHAnsi" w:cstheme="minorHAnsi"/>
              </w:rPr>
            </w:pPr>
            <w:r w:rsidRPr="006B527A">
              <w:rPr>
                <w:rFonts w:asciiTheme="minorHAnsi" w:hAnsiTheme="minorHAnsi" w:cstheme="minorHAnsi"/>
              </w:rPr>
              <w:t>záruka s max. poklesem na 60 % nominální kapacity po 10 letech provozu, nebo dosažení min. 2 400násobku nominální energie (EnergyThroughput)</w:t>
            </w:r>
            <w:r w:rsidRPr="006B527A">
              <w:rPr>
                <w:rStyle w:val="Znakapoznpodarou"/>
                <w:rFonts w:asciiTheme="minorHAnsi" w:hAnsiTheme="minorHAnsi" w:cstheme="minorHAnsi"/>
              </w:rPr>
              <w:footnoteReference w:id="5"/>
            </w:r>
          </w:p>
          <w:p w:rsidR="005D4FBB" w:rsidRPr="006B527A" w:rsidRDefault="005D4FBB" w:rsidP="00C91FD0">
            <w:pPr>
              <w:pStyle w:val="Odstavecseseznamem"/>
              <w:ind w:left="319"/>
              <w:contextualSpacing w:val="0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5D4FBB" w:rsidRDefault="005D4FBB">
      <w:pPr>
        <w:spacing w:after="200" w:line="276" w:lineRule="auto"/>
      </w:pPr>
    </w:p>
    <w:sectPr w:rsidR="005D4FBB" w:rsidSect="00D34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384" w:rsidRDefault="004F3384" w:rsidP="005D4FBB">
      <w:pPr>
        <w:spacing w:after="0"/>
      </w:pPr>
      <w:r>
        <w:separator/>
      </w:r>
    </w:p>
  </w:endnote>
  <w:endnote w:type="continuationSeparator" w:id="1">
    <w:p w:rsidR="004F3384" w:rsidRDefault="004F3384" w:rsidP="005D4FB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384" w:rsidRDefault="004F3384" w:rsidP="005D4FBB">
      <w:pPr>
        <w:spacing w:after="0"/>
      </w:pPr>
      <w:r>
        <w:separator/>
      </w:r>
    </w:p>
  </w:footnote>
  <w:footnote w:type="continuationSeparator" w:id="1">
    <w:p w:rsidR="004F3384" w:rsidRDefault="004F3384" w:rsidP="005D4FBB">
      <w:pPr>
        <w:spacing w:after="0"/>
      </w:pPr>
      <w:r>
        <w:continuationSeparator/>
      </w:r>
    </w:p>
  </w:footnote>
  <w:footnote w:id="2">
    <w:p w:rsidR="005D4FBB" w:rsidRPr="00FA19E4" w:rsidRDefault="005D4FBB" w:rsidP="005D4FB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Akreditovaný subjekt podle ČSN EN ISO/IEC 17065:2013.</w:t>
      </w:r>
    </w:p>
  </w:footnote>
  <w:footnote w:id="3">
    <w:p w:rsidR="005D4FBB" w:rsidRPr="00FA19E4" w:rsidRDefault="005D4FBB" w:rsidP="005D4FBB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Standardní testovací podmínky (Standard Test Conditions) – intenzita záření 1000 W/m</w:t>
      </w:r>
      <w:r w:rsidRPr="00FA19E4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FA19E4">
        <w:rPr>
          <w:rFonts w:asciiTheme="minorHAnsi" w:hAnsiTheme="minorHAnsi" w:cstheme="minorHAnsi"/>
          <w:sz w:val="18"/>
          <w:szCs w:val="18"/>
        </w:rPr>
        <w:t>, spektrum AM1,5 Global a teplota modulu 25 °C.</w:t>
      </w:r>
    </w:p>
  </w:footnote>
  <w:footnote w:id="4">
    <w:p w:rsidR="005D4FBB" w:rsidRPr="00086639" w:rsidRDefault="005D4FBB" w:rsidP="005D4FBB">
      <w:pPr>
        <w:pStyle w:val="Textpoznpodarou"/>
        <w:jc w:val="both"/>
        <w:rPr>
          <w:rFonts w:asciiTheme="minorHAnsi" w:hAnsiTheme="minorHAnsi" w:cstheme="minorHAnsi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speciální fotovoltaické krytiny, technologie určené pro ploché střechy s nízkou nosností.</w:t>
      </w:r>
    </w:p>
  </w:footnote>
  <w:footnote w:id="5">
    <w:p w:rsidR="005D4FBB" w:rsidRPr="00FA19E4" w:rsidRDefault="005D4FBB" w:rsidP="005D4FBB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FA19E4">
        <w:rPr>
          <w:rStyle w:val="Znakapoznpodarou"/>
          <w:rFonts w:asciiTheme="minorHAnsi" w:eastAsiaTheme="majorEastAsia" w:hAnsiTheme="minorHAnsi" w:cstheme="minorHAnsi"/>
          <w:sz w:val="18"/>
          <w:szCs w:val="18"/>
        </w:rPr>
        <w:footnoteRef/>
      </w:r>
      <w:r w:rsidRPr="00FA19E4">
        <w:rPr>
          <w:rFonts w:asciiTheme="minorHAnsi" w:hAnsiTheme="minorHAnsi" w:cstheme="minorHAnsi"/>
          <w:sz w:val="18"/>
          <w:szCs w:val="18"/>
        </w:rPr>
        <w:t xml:space="preserve"> Např. baterie s nominální kapacitou 1 kWh musí být schopna dodat za dobu své životnosti min. 2 400 kWh energie.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0DE"/>
    <w:multiLevelType w:val="hybridMultilevel"/>
    <w:tmpl w:val="2B3AA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F5D7E"/>
    <w:multiLevelType w:val="hybridMultilevel"/>
    <w:tmpl w:val="057CC5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E674A"/>
    <w:multiLevelType w:val="hybridMultilevel"/>
    <w:tmpl w:val="31E44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711A01"/>
    <w:multiLevelType w:val="hybridMultilevel"/>
    <w:tmpl w:val="BFF47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DB38D4"/>
    <w:multiLevelType w:val="hybridMultilevel"/>
    <w:tmpl w:val="CDEE9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42760"/>
    <w:multiLevelType w:val="hybridMultilevel"/>
    <w:tmpl w:val="B2DC1C4A"/>
    <w:lvl w:ilvl="0" w:tplc="4C583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06A29"/>
    <w:multiLevelType w:val="hybridMultilevel"/>
    <w:tmpl w:val="59FA4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31397"/>
    <w:multiLevelType w:val="hybridMultilevel"/>
    <w:tmpl w:val="45227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215EFF"/>
    <w:multiLevelType w:val="hybridMultilevel"/>
    <w:tmpl w:val="0E042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D965BB1"/>
    <w:multiLevelType w:val="hybridMultilevel"/>
    <w:tmpl w:val="2B061442"/>
    <w:lvl w:ilvl="0" w:tplc="A3928A5C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19599F"/>
    <w:multiLevelType w:val="hybridMultilevel"/>
    <w:tmpl w:val="F670A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07D54"/>
    <w:multiLevelType w:val="hybridMultilevel"/>
    <w:tmpl w:val="75F0F3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1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9"/>
  </w:num>
  <w:num w:numId="10">
    <w:abstractNumId w:val="1"/>
  </w:num>
  <w:num w:numId="11">
    <w:abstractNumId w:val="12"/>
  </w:num>
  <w:num w:numId="12">
    <w:abstractNumId w:val="4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4FBB"/>
    <w:rsid w:val="00046F6A"/>
    <w:rsid w:val="0019183B"/>
    <w:rsid w:val="002969AF"/>
    <w:rsid w:val="003B6960"/>
    <w:rsid w:val="003E2E1C"/>
    <w:rsid w:val="004D0B49"/>
    <w:rsid w:val="004F3384"/>
    <w:rsid w:val="005D4FBB"/>
    <w:rsid w:val="006B527A"/>
    <w:rsid w:val="00967AAA"/>
    <w:rsid w:val="00A32D6C"/>
    <w:rsid w:val="00D3476A"/>
    <w:rsid w:val="00F84AC4"/>
    <w:rsid w:val="00FB7E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FBB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D4F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4FBB"/>
    <w:pPr>
      <w:keepNext/>
      <w:keepLines/>
      <w:numPr>
        <w:numId w:val="5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4F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5D4FB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5D4FBB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5D4FBB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5D4FB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5D4FBB"/>
    <w:rPr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5D4F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5D4FBB"/>
    <w:pPr>
      <w:numPr>
        <w:numId w:val="1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5D4FBB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5D4FBB"/>
    <w:pPr>
      <w:numPr>
        <w:ilvl w:val="1"/>
      </w:numPr>
      <w:tabs>
        <w:tab w:val="num" w:pos="360"/>
      </w:tabs>
      <w:ind w:left="737" w:hanging="737"/>
    </w:pPr>
  </w:style>
  <w:style w:type="table" w:customStyle="1" w:styleId="ListTable3Accent1">
    <w:name w:val="List Table 3 Accent 1"/>
    <w:basedOn w:val="Normlntabulka"/>
    <w:uiPriority w:val="48"/>
    <w:rsid w:val="005D4F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5D4F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D4FBB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table" w:styleId="Mkatabulky">
    <w:name w:val="Table Grid"/>
    <w:basedOn w:val="Normlntabulka"/>
    <w:uiPriority w:val="59"/>
    <w:rsid w:val="005D4F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4FBB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D4F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4FBB"/>
    <w:pPr>
      <w:keepNext/>
      <w:keepLines/>
      <w:numPr>
        <w:numId w:val="5"/>
      </w:numPr>
      <w:spacing w:before="240" w:after="120"/>
      <w:outlineLvl w:val="1"/>
    </w:pPr>
    <w:rPr>
      <w:rFonts w:eastAsiaTheme="majorEastAsia" w:cstheme="majorBidi"/>
      <w:b/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4FB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5D4FB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cs-CZ"/>
    </w:rPr>
  </w:style>
  <w:style w:type="paragraph" w:styleId="Odstavecseseznamem">
    <w:name w:val="List Paragraph"/>
    <w:aliases w:val="Nad,Odstavec cíl se seznamem,Odstavec se seznamem5,Seznam bodů,dd_odrazky,Odstavec_muj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5D4FBB"/>
    <w:pPr>
      <w:ind w:left="720"/>
      <w:contextualSpacing/>
    </w:pPr>
  </w:style>
  <w:style w:type="paragraph" w:styleId="Textpoznpodarou">
    <w:name w:val="footnote text"/>
    <w:aliases w:val="pozn. pod čarou,Schriftart: 9 pt,Schriftart: 10 pt,Schriftart: 8 pt,Podrozdział,Footnote,Podrozdzia3,Char1,Text poznámky pod čiarou 007,Fußnotentextf,Geneva 9,Font: Geneva 9,Boston 10,f,Text pozn. pod čarou1,Char Char Char1,o"/>
    <w:basedOn w:val="Normln"/>
    <w:link w:val="TextpoznpodarouChar"/>
    <w:uiPriority w:val="99"/>
    <w:unhideWhenUsed/>
    <w:qFormat/>
    <w:rsid w:val="005D4FBB"/>
    <w:rPr>
      <w:sz w:val="20"/>
      <w:szCs w:val="20"/>
    </w:rPr>
  </w:style>
  <w:style w:type="character" w:customStyle="1" w:styleId="TextpoznpodarouChar">
    <w:name w:val="Text pozn. pod čarou Char"/>
    <w:aliases w:val="pozn. pod čarou Char,Schriftart: 9 pt Char,Schriftart: 10 pt Char,Schriftart: 8 pt Char,Podrozdział Char,Footnote Char,Podrozdzia3 Char,Char1 Char,Text poznámky pod čiarou 007 Char,Fußnotentextf Char,Geneva 9 Char,f Char,o Char"/>
    <w:basedOn w:val="Standardnpsmoodstavce"/>
    <w:link w:val="Textpoznpodarou"/>
    <w:uiPriority w:val="99"/>
    <w:rsid w:val="005D4FB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5D4FBB"/>
    <w:rPr>
      <w:vertAlign w:val="superscript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Odstavec_muj Char,Odstavec se seznamem1 Char,_Odstavec se seznamem Char,Seznam - odrážky Char,Conclusion de partie Char"/>
    <w:link w:val="Odstavecseseznamem"/>
    <w:uiPriority w:val="34"/>
    <w:qFormat/>
    <w:locked/>
    <w:rsid w:val="005D4F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qFormat/>
    <w:rsid w:val="005D4FBB"/>
    <w:pPr>
      <w:numPr>
        <w:numId w:val="1"/>
      </w:numPr>
      <w:spacing w:before="120" w:after="120" w:line="360" w:lineRule="auto"/>
      <w:contextualSpacing w:val="0"/>
      <w:jc w:val="both"/>
    </w:pPr>
    <w:rPr>
      <w:rFonts w:ascii="Arial" w:hAnsi="Arial" w:cs="Arial"/>
      <w:sz w:val="20"/>
      <w:szCs w:val="20"/>
    </w:rPr>
  </w:style>
  <w:style w:type="character" w:customStyle="1" w:styleId="OdrkybodChar">
    <w:name w:val="Odrážky_bod Char"/>
    <w:link w:val="Odrkybod"/>
    <w:uiPriority w:val="99"/>
    <w:qFormat/>
    <w:locked/>
    <w:rsid w:val="005D4FBB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qFormat/>
    <w:rsid w:val="005D4FBB"/>
    <w:pPr>
      <w:numPr>
        <w:ilvl w:val="1"/>
      </w:numPr>
      <w:tabs>
        <w:tab w:val="num" w:pos="360"/>
      </w:tabs>
      <w:ind w:left="737" w:hanging="737"/>
    </w:pPr>
  </w:style>
  <w:style w:type="table" w:customStyle="1" w:styleId="ListTable3Accent1">
    <w:name w:val="List Table 3 Accent 1"/>
    <w:basedOn w:val="Normlntabulka"/>
    <w:uiPriority w:val="48"/>
    <w:rsid w:val="005D4FBB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5D4F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D4FBB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table" w:styleId="Mkatabulky">
    <w:name w:val="Table Grid"/>
    <w:basedOn w:val="Normlntabulka"/>
    <w:uiPriority w:val="59"/>
    <w:rsid w:val="005D4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Samiec</dc:creator>
  <cp:lastModifiedBy>Uzivatel</cp:lastModifiedBy>
  <cp:revision>3</cp:revision>
  <dcterms:created xsi:type="dcterms:W3CDTF">2022-11-16T15:43:00Z</dcterms:created>
  <dcterms:modified xsi:type="dcterms:W3CDTF">2022-11-16T16:36:00Z</dcterms:modified>
</cp:coreProperties>
</file>